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DB1" w:rsidRPr="008B0DB1" w:rsidRDefault="008B0DB1" w:rsidP="008B0DB1">
      <w:pPr>
        <w:shd w:val="clear" w:color="auto" w:fill="FFFFFF"/>
        <w:spacing w:after="0" w:line="240" w:lineRule="auto"/>
        <w:jc w:val="both"/>
        <w:outlineLvl w:val="2"/>
        <w:rPr>
          <w:rFonts w:ascii="Calibri" w:eastAsia="Times New Roman" w:hAnsi="Calibri" w:cs="Times New Roman"/>
          <w:color w:val="333333"/>
          <w:sz w:val="30"/>
          <w:szCs w:val="30"/>
          <w:lang w:eastAsia="ro-RO"/>
        </w:rPr>
      </w:pPr>
      <w:r w:rsidRPr="008B0DB1">
        <w:rPr>
          <w:rFonts w:ascii="Calibri" w:eastAsia="Times New Roman" w:hAnsi="Calibri" w:cs="Times New Roman"/>
          <w:color w:val="333333"/>
          <w:sz w:val="30"/>
          <w:szCs w:val="30"/>
          <w:lang w:eastAsia="ro-RO"/>
        </w:rPr>
        <w:t>Parlamentul României</w:t>
      </w:r>
    </w:p>
    <w:p w:rsidR="008B0DB1" w:rsidRPr="008B0DB1" w:rsidRDefault="008B0DB1" w:rsidP="008B0DB1">
      <w:pPr>
        <w:shd w:val="clear" w:color="auto" w:fill="FFFFFF"/>
        <w:spacing w:after="75" w:line="450" w:lineRule="atLeast"/>
        <w:jc w:val="both"/>
        <w:outlineLvl w:val="0"/>
        <w:rPr>
          <w:rFonts w:ascii="Cambria" w:eastAsia="Times New Roman" w:hAnsi="Cambria" w:cs="Times New Roman"/>
          <w:color w:val="2A76A7"/>
          <w:kern w:val="36"/>
          <w:sz w:val="42"/>
          <w:szCs w:val="42"/>
          <w:lang w:eastAsia="ro-RO"/>
        </w:rPr>
      </w:pPr>
      <w:r w:rsidRPr="008B0DB1">
        <w:rPr>
          <w:rFonts w:ascii="Cambria" w:eastAsia="Times New Roman" w:hAnsi="Cambria" w:cs="Times New Roman"/>
          <w:color w:val="2A76A7"/>
          <w:kern w:val="36"/>
          <w:sz w:val="42"/>
          <w:szCs w:val="42"/>
          <w:lang w:eastAsia="ro-RO"/>
        </w:rPr>
        <w:t>Legea nr. 279/2020 pentru modificarea alin. (5) al art. 65 din Legea nr. 263/2010 privind sistemul unitar de pensii publice</w:t>
      </w:r>
    </w:p>
    <w:p w:rsidR="008B0DB1" w:rsidRPr="008B0DB1" w:rsidRDefault="00A815DC" w:rsidP="008B0DB1">
      <w:pPr>
        <w:shd w:val="clear" w:color="auto" w:fill="FFFFFF"/>
        <w:spacing w:after="0" w:line="240" w:lineRule="auto"/>
        <w:jc w:val="both"/>
        <w:rPr>
          <w:rFonts w:ascii="Calibri" w:eastAsia="Times New Roman" w:hAnsi="Calibri" w:cs="Times New Roman"/>
          <w:color w:val="333333"/>
          <w:sz w:val="26"/>
          <w:szCs w:val="26"/>
          <w:lang w:eastAsia="ro-RO"/>
        </w:rPr>
      </w:pPr>
      <w:hyperlink r:id="rId5" w:history="1">
        <w:r w:rsidR="008B0DB1" w:rsidRPr="008B0DB1">
          <w:rPr>
            <w:rFonts w:ascii="Calibri" w:eastAsia="Times New Roman" w:hAnsi="Calibri" w:cs="Times New Roman"/>
            <w:color w:val="339966"/>
            <w:sz w:val="20"/>
            <w:szCs w:val="20"/>
            <w:u w:val="single"/>
            <w:lang w:eastAsia="ro-RO"/>
          </w:rPr>
          <w:t>Modificări</w:t>
        </w:r>
      </w:hyperlink>
      <w:r w:rsidR="008B0DB1" w:rsidRPr="008B0DB1">
        <w:rPr>
          <w:rFonts w:ascii="Calibri" w:eastAsia="Times New Roman" w:hAnsi="Calibri" w:cs="Times New Roman"/>
          <w:color w:val="339966"/>
          <w:sz w:val="20"/>
          <w:szCs w:val="20"/>
          <w:lang w:eastAsia="ro-RO"/>
        </w:rPr>
        <w:t> (...), </w:t>
      </w:r>
      <w:hyperlink r:id="rId6" w:anchor="p-0" w:tgtFrame="_blank" w:history="1">
        <w:r w:rsidR="008B0DB1" w:rsidRPr="008B0DB1">
          <w:rPr>
            <w:rFonts w:ascii="Calibri" w:eastAsia="Times New Roman" w:hAnsi="Calibri" w:cs="Times New Roman"/>
            <w:color w:val="339966"/>
            <w:sz w:val="20"/>
            <w:szCs w:val="20"/>
            <w:u w:val="single"/>
            <w:lang w:eastAsia="ro-RO"/>
          </w:rPr>
          <w:t>Referințe</w:t>
        </w:r>
      </w:hyperlink>
      <w:r w:rsidR="008B0DB1" w:rsidRPr="008B0DB1">
        <w:rPr>
          <w:rFonts w:ascii="Calibri" w:eastAsia="Times New Roman" w:hAnsi="Calibri" w:cs="Times New Roman"/>
          <w:color w:val="339966"/>
          <w:sz w:val="20"/>
          <w:szCs w:val="20"/>
          <w:lang w:eastAsia="ro-RO"/>
        </w:rPr>
        <w:t> (1)</w:t>
      </w:r>
    </w:p>
    <w:p w:rsidR="008B0DB1" w:rsidRPr="008B0DB1" w:rsidRDefault="008B0DB1" w:rsidP="008B0DB1">
      <w:pPr>
        <w:shd w:val="clear" w:color="auto" w:fill="FFFFFF"/>
        <w:spacing w:after="0" w:line="240" w:lineRule="auto"/>
        <w:jc w:val="both"/>
        <w:outlineLvl w:val="3"/>
        <w:rPr>
          <w:rFonts w:ascii="Calibri" w:eastAsia="Times New Roman" w:hAnsi="Calibri" w:cs="Times New Roman"/>
          <w:b/>
          <w:bCs/>
          <w:color w:val="333333"/>
          <w:sz w:val="24"/>
          <w:szCs w:val="24"/>
          <w:lang w:eastAsia="ro-RO"/>
        </w:rPr>
      </w:pPr>
      <w:r w:rsidRPr="008B0DB1">
        <w:rPr>
          <w:rFonts w:ascii="Calibri" w:eastAsia="Times New Roman" w:hAnsi="Calibri" w:cs="Times New Roman"/>
          <w:b/>
          <w:bCs/>
          <w:color w:val="333333"/>
          <w:sz w:val="24"/>
          <w:szCs w:val="24"/>
          <w:lang w:eastAsia="ro-RO"/>
        </w:rPr>
        <w:t>Text publicat în Monitorul Oficial, Partea I nr. 1187 din 07 decembrie 2020.</w:t>
      </w:r>
    </w:p>
    <w:p w:rsidR="008B0DB1" w:rsidRPr="008B0DB1" w:rsidRDefault="008B0DB1" w:rsidP="008B0DB1">
      <w:pPr>
        <w:shd w:val="clear" w:color="auto" w:fill="FFFFFF"/>
        <w:spacing w:after="450" w:line="240" w:lineRule="auto"/>
        <w:jc w:val="both"/>
        <w:outlineLvl w:val="2"/>
        <w:rPr>
          <w:rFonts w:ascii="Calibri" w:eastAsia="Times New Roman" w:hAnsi="Calibri" w:cs="Times New Roman"/>
          <w:color w:val="333333"/>
          <w:sz w:val="24"/>
          <w:szCs w:val="24"/>
          <w:lang w:eastAsia="ro-RO"/>
        </w:rPr>
      </w:pPr>
      <w:r w:rsidRPr="008B0DB1">
        <w:rPr>
          <w:rFonts w:ascii="Calibri" w:eastAsia="Times New Roman" w:hAnsi="Calibri" w:cs="Times New Roman"/>
          <w:color w:val="333333"/>
          <w:sz w:val="24"/>
          <w:szCs w:val="24"/>
          <w:lang w:eastAsia="ro-RO"/>
        </w:rPr>
        <w:t>În vigoare de la 10 decembrie 2020</w:t>
      </w:r>
    </w:p>
    <w:p w:rsidR="008B0DB1" w:rsidRPr="008B0DB1" w:rsidRDefault="008B0DB1" w:rsidP="008B0DB1">
      <w:pPr>
        <w:pBdr>
          <w:top w:val="single" w:sz="6" w:space="1" w:color="auto"/>
        </w:pBdr>
        <w:spacing w:line="240" w:lineRule="auto"/>
        <w:jc w:val="center"/>
        <w:rPr>
          <w:rFonts w:ascii="Arial" w:eastAsia="Times New Roman" w:hAnsi="Arial" w:cs="Arial"/>
          <w:vanish/>
          <w:sz w:val="16"/>
          <w:szCs w:val="16"/>
          <w:lang w:eastAsia="ro-RO"/>
        </w:rPr>
      </w:pPr>
      <w:r w:rsidRPr="008B0DB1">
        <w:rPr>
          <w:rFonts w:ascii="Arial" w:eastAsia="Times New Roman" w:hAnsi="Arial" w:cs="Arial"/>
          <w:vanish/>
          <w:sz w:val="16"/>
          <w:szCs w:val="16"/>
          <w:lang w:eastAsia="ro-RO"/>
        </w:rPr>
        <w:t>Bottom of Form</w:t>
      </w:r>
    </w:p>
    <w:p w:rsidR="008B0DB1" w:rsidRPr="008B0DB1" w:rsidRDefault="008B0DB1" w:rsidP="008B0DB1">
      <w:pPr>
        <w:shd w:val="clear" w:color="auto" w:fill="FFFFFF"/>
        <w:spacing w:after="0" w:line="240" w:lineRule="auto"/>
        <w:jc w:val="both"/>
        <w:rPr>
          <w:rFonts w:ascii="Calibri" w:eastAsia="Times New Roman" w:hAnsi="Calibri" w:cs="Times New Roman"/>
          <w:color w:val="333333"/>
          <w:sz w:val="26"/>
          <w:szCs w:val="26"/>
          <w:lang w:eastAsia="ro-RO"/>
        </w:rPr>
      </w:pPr>
      <w:r w:rsidRPr="008B0DB1">
        <w:rPr>
          <w:rFonts w:ascii="Calibri" w:eastAsia="Times New Roman" w:hAnsi="Calibri" w:cs="Times New Roman"/>
          <w:color w:val="444444"/>
          <w:sz w:val="26"/>
          <w:szCs w:val="26"/>
          <w:lang w:eastAsia="ro-RO"/>
        </w:rPr>
        <w:t>Parlamentul României adoptă prezenta lege.</w:t>
      </w:r>
    </w:p>
    <w:p w:rsidR="008B0DB1" w:rsidRPr="008B0DB1" w:rsidRDefault="00A815DC" w:rsidP="008B0DB1">
      <w:pPr>
        <w:shd w:val="clear" w:color="auto" w:fill="FFFFFF"/>
        <w:spacing w:before="225" w:after="75" w:line="240" w:lineRule="auto"/>
        <w:jc w:val="both"/>
        <w:outlineLvl w:val="3"/>
        <w:rPr>
          <w:rFonts w:ascii="Calibri" w:eastAsia="Times New Roman" w:hAnsi="Calibri" w:cs="Times New Roman"/>
          <w:b/>
          <w:bCs/>
          <w:color w:val="333333"/>
          <w:sz w:val="26"/>
          <w:szCs w:val="26"/>
          <w:lang w:eastAsia="ro-RO"/>
        </w:rPr>
      </w:pPr>
      <w:hyperlink r:id="rId7" w:tgtFrame="_blank" w:history="1">
        <w:r w:rsidR="008B0DB1" w:rsidRPr="008B0DB1">
          <w:rPr>
            <w:rFonts w:ascii="Calibri" w:eastAsia="Times New Roman" w:hAnsi="Calibri" w:cs="Times New Roman"/>
            <w:b/>
            <w:bCs/>
            <w:color w:val="1A86B6"/>
            <w:sz w:val="26"/>
            <w:szCs w:val="26"/>
            <w:u w:val="single"/>
            <w:lang w:eastAsia="ro-RO"/>
          </w:rPr>
          <w:t>Articol unic. -</w:t>
        </w:r>
      </w:hyperlink>
    </w:p>
    <w:p w:rsidR="008B0DB1" w:rsidRPr="008B0DB1" w:rsidRDefault="00A815DC" w:rsidP="008B0DB1">
      <w:pPr>
        <w:shd w:val="clear" w:color="auto" w:fill="FFFFFF"/>
        <w:spacing w:after="150" w:line="240" w:lineRule="auto"/>
        <w:jc w:val="both"/>
        <w:rPr>
          <w:rFonts w:ascii="Calibri" w:eastAsia="Times New Roman" w:hAnsi="Calibri" w:cs="Times New Roman"/>
          <w:color w:val="333333"/>
          <w:sz w:val="26"/>
          <w:szCs w:val="26"/>
          <w:lang w:eastAsia="ro-RO"/>
        </w:rPr>
      </w:pPr>
      <w:hyperlink r:id="rId8" w:anchor="p-326959661" w:tgtFrame="_blank" w:history="1">
        <w:r w:rsidR="008B0DB1" w:rsidRPr="008B0DB1">
          <w:rPr>
            <w:rFonts w:ascii="Calibri" w:eastAsia="Times New Roman" w:hAnsi="Calibri" w:cs="Times New Roman"/>
            <w:color w:val="1A86B6"/>
            <w:sz w:val="26"/>
            <w:szCs w:val="26"/>
            <w:u w:val="single"/>
            <w:lang w:eastAsia="ro-RO"/>
          </w:rPr>
          <w:t>Alineatul (5)</w:t>
        </w:r>
      </w:hyperlink>
      <w:r w:rsidR="008B0DB1" w:rsidRPr="008B0DB1">
        <w:rPr>
          <w:rFonts w:ascii="Calibri" w:eastAsia="Times New Roman" w:hAnsi="Calibri" w:cs="Times New Roman"/>
          <w:color w:val="444444"/>
          <w:sz w:val="26"/>
          <w:szCs w:val="26"/>
          <w:lang w:eastAsia="ro-RO"/>
        </w:rPr>
        <w:t> al articolului 65 din Legea nr. 263/2010 privind sistemul unitar de pensii publice, publicată în Monitorul Oficial al României, Partea I, nr. 852 din 20 decembrie 2010, cu modificările și completările ulterioare, se modifică și va avea următorul cuprins:</w:t>
      </w:r>
    </w:p>
    <w:p w:rsidR="008B0DB1" w:rsidRPr="008B0DB1" w:rsidRDefault="008B0DB1" w:rsidP="008B0DB1">
      <w:pPr>
        <w:shd w:val="clear" w:color="auto" w:fill="FFFFFF"/>
        <w:spacing w:after="150" w:line="240" w:lineRule="auto"/>
        <w:jc w:val="center"/>
        <w:rPr>
          <w:rFonts w:ascii="Calibri" w:eastAsia="Times New Roman" w:hAnsi="Calibri" w:cs="Times New Roman"/>
          <w:color w:val="333333"/>
          <w:sz w:val="26"/>
          <w:szCs w:val="26"/>
          <w:lang w:eastAsia="ro-RO"/>
        </w:rPr>
      </w:pPr>
    </w:p>
    <w:p w:rsidR="008B0DB1" w:rsidRPr="008B0DB1" w:rsidRDefault="008B0DB1" w:rsidP="003B3C5B">
      <w:pPr>
        <w:shd w:val="clear" w:color="auto" w:fill="FFFFFF"/>
        <w:spacing w:after="0" w:line="240" w:lineRule="auto"/>
        <w:jc w:val="both"/>
        <w:rPr>
          <w:rFonts w:ascii="Calibri" w:eastAsia="Times New Roman" w:hAnsi="Calibri" w:cs="Times New Roman"/>
          <w:i/>
          <w:iCs/>
          <w:color w:val="333333"/>
          <w:sz w:val="26"/>
          <w:szCs w:val="26"/>
          <w:lang w:eastAsia="ro-RO"/>
        </w:rPr>
      </w:pPr>
      <w:r w:rsidRPr="008B0DB1">
        <w:rPr>
          <w:rFonts w:ascii="Calibri" w:eastAsia="Times New Roman" w:hAnsi="Calibri" w:cs="Times New Roman"/>
          <w:i/>
          <w:iCs/>
          <w:color w:val="222222"/>
          <w:sz w:val="26"/>
          <w:szCs w:val="26"/>
          <w:lang w:eastAsia="ro-RO"/>
        </w:rPr>
        <w:t>"</w:t>
      </w:r>
      <w:r w:rsidRPr="008B0DB1">
        <w:rPr>
          <w:rFonts w:ascii="Calibri" w:eastAsia="Times New Roman" w:hAnsi="Calibri" w:cs="Times New Roman"/>
          <w:b/>
          <w:bCs/>
          <w:i/>
          <w:iCs/>
          <w:color w:val="222222"/>
          <w:sz w:val="26"/>
          <w:szCs w:val="26"/>
          <w:lang w:eastAsia="ro-RO"/>
        </w:rPr>
        <w:t>(5)</w:t>
      </w:r>
      <w:r w:rsidRPr="008B0DB1">
        <w:rPr>
          <w:rFonts w:ascii="Calibri" w:eastAsia="Times New Roman" w:hAnsi="Calibri" w:cs="Times New Roman"/>
          <w:i/>
          <w:iCs/>
          <w:color w:val="444444"/>
          <w:sz w:val="26"/>
          <w:szCs w:val="26"/>
          <w:lang w:eastAsia="ro-RO"/>
        </w:rPr>
        <w:t xml:space="preserve"> Persoanele care au locuit cel puțin 30 de ani în zonele afectate de poluarea remanentă din cauza extracției, preparării și arderii cărbunelui sau a șisturilor bituminoase, a extracției și preparării minereurilor de uraniu, a extracției și prelucrării minereurilor feroase și neferoase cu conținut de praf sau de emisii de gaze cu efect de seră, de amoniac și derivate, de cupru, plumb, sulf, azot, fosfor, cadmiu, arseniu, zinc, mangan, fluor, clor, feldspat și siliciu ori de radiații din minereuri radio- active, hidrogen sulfurat, crom trivalent, crom hexavalent, cianuri, de pulberi metalice și/sau de cocs metalurgic, a prelucrării țițeiului sulfuros, desulfurarea benzinei, a țițeiului parafinos și neparafinos, a distilării țițeiului în vederea producerii păcurii și a uleiurilor, respectiv în localitățile Baia Mare, Călărași, Copșa Mică, Drobeta-Turnu Severin, Slatina, Târgu Mureș, Târnăveni, Turnu Măgurele, precum și în localitățile Abrud, Baia de Arieș, Lupșa, Ocoliș, Roșia Montană și Zlatna din județul Alba, Băița din județul Bihor, Bacău și Onești din județul Bacău, Maieru, Rodna și Șanț din județul Bistrița-Năsăud, Crizbav, Feldioara, Victoria și Făgăraș din județul Brașov, Anina, Armeniș, Ciudanovița, Moldova Nouă, Oțelu Roșu și Reșița din județul Caraș-Severin, Aghireșu, Câmpia Turzii, Căpușu Mare, Dej, Iara și Turda din județul Cluj, Năvodari din județul Constanța, Baraolt din județul Covasna, Târgoviște și Titu din județul Dâmbovița, Galați din județul Galați, Brănești, Bâlteni, Bustuchin, Câlnic, Drăgotești, Fărcășești, Ionești, Mătăsari, Motru, Negomir, Plopșoru, Prigoria, Roșia de Amaradia, Rovinari, Urdari și Turceni din județul Gorj, Aninoasa, Baia de Criș, Băița, Brad, Călan, Certeju de Sus, Criscior, Deva, Ghelari, Hunedoara, Lupeni, Orăștie, Petrila, Petroșani, Șoimuș, Teliucu Inferior, Uricani, Vețel, Vulcan din județul Hunedoara, Ciulnița și Slobozia din județul Ialomița, Săvinești din județul Neamț, Brazi și Ploiești din județul Prahova, Broșteni, Crucea, Iacobeni, Ostra, Stulpicani și Vatra Dornei din județul Suceava, Fârdea, Margina, Nădrag și Tomești din județul Timiș, Mina Altân Tepe din </w:t>
      </w:r>
      <w:r w:rsidRPr="008B0DB1">
        <w:rPr>
          <w:rFonts w:ascii="Calibri" w:eastAsia="Times New Roman" w:hAnsi="Calibri" w:cs="Times New Roman"/>
          <w:i/>
          <w:iCs/>
          <w:color w:val="444444"/>
          <w:sz w:val="26"/>
          <w:szCs w:val="26"/>
          <w:lang w:eastAsia="ro-RO"/>
        </w:rPr>
        <w:lastRenderedPageBreak/>
        <w:t>județul Tulcea, Berbești și Râmnicu Vâlcea din județul Vâlcea, pe o rază de 8 km în jurul localității în care se află situl contaminat, beneficiază de reducerea vârstei standard de pensionare cu 2 ani fără penalizarea prevăzută la alin. (4)."</w:t>
      </w:r>
    </w:p>
    <w:p w:rsidR="008B0DB1" w:rsidRDefault="008B0DB1" w:rsidP="008B0DB1">
      <w:pPr>
        <w:shd w:val="clear" w:color="auto" w:fill="FFFFFF"/>
        <w:spacing w:after="0" w:line="240" w:lineRule="auto"/>
        <w:jc w:val="both"/>
        <w:rPr>
          <w:rFonts w:ascii="Calibri" w:eastAsia="Times New Roman" w:hAnsi="Calibri" w:cs="Times New Roman"/>
          <w:color w:val="444444"/>
          <w:sz w:val="26"/>
          <w:szCs w:val="26"/>
          <w:lang w:eastAsia="ro-RO"/>
        </w:rPr>
      </w:pPr>
      <w:r w:rsidRPr="008B0DB1">
        <w:rPr>
          <w:rFonts w:ascii="Calibri" w:eastAsia="Times New Roman" w:hAnsi="Calibri" w:cs="Times New Roman"/>
          <w:color w:val="444444"/>
          <w:sz w:val="26"/>
          <w:szCs w:val="26"/>
          <w:lang w:eastAsia="ro-RO"/>
        </w:rPr>
        <w:t>Această lege a fost adoptată de Parlamentul României, cu respectarea prevederilor </w:t>
      </w:r>
      <w:hyperlink r:id="rId9" w:anchor="p-43226532" w:tgtFrame="_blank" w:history="1">
        <w:r w:rsidRPr="008B0DB1">
          <w:rPr>
            <w:rFonts w:ascii="Calibri" w:eastAsia="Times New Roman" w:hAnsi="Calibri" w:cs="Times New Roman"/>
            <w:color w:val="1A86B6"/>
            <w:sz w:val="26"/>
            <w:szCs w:val="26"/>
            <w:u w:val="single"/>
            <w:lang w:eastAsia="ro-RO"/>
          </w:rPr>
          <w:t>art. 75</w:t>
        </w:r>
      </w:hyperlink>
      <w:r w:rsidRPr="008B0DB1">
        <w:rPr>
          <w:rFonts w:ascii="Calibri" w:eastAsia="Times New Roman" w:hAnsi="Calibri" w:cs="Times New Roman"/>
          <w:color w:val="444444"/>
          <w:sz w:val="26"/>
          <w:szCs w:val="26"/>
          <w:lang w:eastAsia="ro-RO"/>
        </w:rPr>
        <w:t> și ale art. 76 </w:t>
      </w:r>
      <w:hyperlink r:id="rId10" w:anchor="p-43226542" w:tgtFrame="_blank" w:history="1">
        <w:r w:rsidRPr="008B0DB1">
          <w:rPr>
            <w:rFonts w:ascii="Calibri" w:eastAsia="Times New Roman" w:hAnsi="Calibri" w:cs="Times New Roman"/>
            <w:color w:val="1A86B6"/>
            <w:sz w:val="26"/>
            <w:szCs w:val="26"/>
            <w:u w:val="single"/>
            <w:lang w:eastAsia="ro-RO"/>
          </w:rPr>
          <w:t>alin. (1)</w:t>
        </w:r>
      </w:hyperlink>
      <w:r w:rsidRPr="008B0DB1">
        <w:rPr>
          <w:rFonts w:ascii="Calibri" w:eastAsia="Times New Roman" w:hAnsi="Calibri" w:cs="Times New Roman"/>
          <w:color w:val="444444"/>
          <w:sz w:val="26"/>
          <w:szCs w:val="26"/>
          <w:lang w:eastAsia="ro-RO"/>
        </w:rPr>
        <w:t> din Constituția României, republicată.</w:t>
      </w:r>
    </w:p>
    <w:p w:rsidR="008B0DB1" w:rsidRDefault="008B0DB1" w:rsidP="008B0DB1">
      <w:pPr>
        <w:shd w:val="clear" w:color="auto" w:fill="FFFFFF"/>
        <w:spacing w:after="0" w:line="240" w:lineRule="auto"/>
        <w:jc w:val="both"/>
        <w:rPr>
          <w:rFonts w:ascii="Calibri" w:eastAsia="Times New Roman" w:hAnsi="Calibri" w:cs="Times New Roman"/>
          <w:color w:val="444444"/>
          <w:sz w:val="26"/>
          <w:szCs w:val="26"/>
          <w:lang w:eastAsia="ro-RO"/>
        </w:rPr>
      </w:pPr>
    </w:p>
    <w:p w:rsidR="008B0DB1" w:rsidRPr="008B0DB1" w:rsidRDefault="008B0DB1" w:rsidP="008B0DB1">
      <w:pPr>
        <w:shd w:val="clear" w:color="auto" w:fill="FFFFFF"/>
        <w:spacing w:after="0" w:line="240" w:lineRule="auto"/>
        <w:jc w:val="both"/>
        <w:rPr>
          <w:rFonts w:ascii="Calibri" w:eastAsia="Times New Roman" w:hAnsi="Calibri" w:cs="Times New Roman"/>
          <w:color w:val="333333"/>
          <w:sz w:val="26"/>
          <w:szCs w:val="26"/>
          <w:lang w:eastAsia="ro-RO"/>
        </w:rPr>
      </w:pPr>
      <w:bookmarkStart w:id="0" w:name="_GoBack"/>
      <w:bookmarkEnd w:id="0"/>
    </w:p>
    <w:tbl>
      <w:tblPr>
        <w:tblW w:w="7575" w:type="dxa"/>
        <w:jc w:val="center"/>
        <w:tblCellMar>
          <w:top w:w="15" w:type="dxa"/>
          <w:left w:w="15" w:type="dxa"/>
          <w:bottom w:w="15" w:type="dxa"/>
          <w:right w:w="15" w:type="dxa"/>
        </w:tblCellMar>
        <w:tblLook w:val="04A0"/>
      </w:tblPr>
      <w:tblGrid>
        <w:gridCol w:w="10"/>
        <w:gridCol w:w="4439"/>
        <w:gridCol w:w="3126"/>
      </w:tblGrid>
      <w:tr w:rsidR="008B0DB1" w:rsidRPr="008B0DB1" w:rsidTr="008B0DB1">
        <w:trPr>
          <w:trHeight w:val="15"/>
          <w:jc w:val="center"/>
        </w:trPr>
        <w:tc>
          <w:tcPr>
            <w:tcW w:w="0" w:type="auto"/>
            <w:tcMar>
              <w:top w:w="0" w:type="dxa"/>
              <w:left w:w="0" w:type="dxa"/>
              <w:bottom w:w="0" w:type="dxa"/>
              <w:right w:w="0" w:type="dxa"/>
            </w:tcMar>
            <w:vAlign w:val="center"/>
            <w:hideMark/>
          </w:tcPr>
          <w:p w:rsidR="008B0DB1" w:rsidRPr="008B0DB1" w:rsidRDefault="008B0DB1" w:rsidP="008B0DB1">
            <w:pPr>
              <w:spacing w:after="0" w:line="240" w:lineRule="auto"/>
              <w:rPr>
                <w:rFonts w:ascii="Times New Roman" w:eastAsia="Times New Roman" w:hAnsi="Times New Roman" w:cs="Times New Roman"/>
                <w:sz w:val="2"/>
                <w:szCs w:val="24"/>
                <w:lang w:eastAsia="ro-RO"/>
              </w:rPr>
            </w:pPr>
          </w:p>
        </w:tc>
        <w:tc>
          <w:tcPr>
            <w:tcW w:w="0" w:type="auto"/>
            <w:tcMar>
              <w:top w:w="0" w:type="dxa"/>
              <w:left w:w="0" w:type="dxa"/>
              <w:bottom w:w="0" w:type="dxa"/>
              <w:right w:w="0" w:type="dxa"/>
            </w:tcMar>
            <w:vAlign w:val="center"/>
            <w:hideMark/>
          </w:tcPr>
          <w:p w:rsidR="008B0DB1" w:rsidRPr="008B0DB1" w:rsidRDefault="008B0DB1" w:rsidP="008B0DB1">
            <w:pPr>
              <w:spacing w:after="0" w:line="240" w:lineRule="auto"/>
              <w:rPr>
                <w:rFonts w:ascii="Times New Roman" w:eastAsia="Times New Roman" w:hAnsi="Times New Roman" w:cs="Times New Roman"/>
                <w:sz w:val="2"/>
                <w:szCs w:val="24"/>
                <w:lang w:eastAsia="ro-RO"/>
              </w:rPr>
            </w:pPr>
          </w:p>
        </w:tc>
        <w:tc>
          <w:tcPr>
            <w:tcW w:w="0" w:type="auto"/>
            <w:tcMar>
              <w:top w:w="0" w:type="dxa"/>
              <w:left w:w="0" w:type="dxa"/>
              <w:bottom w:w="0" w:type="dxa"/>
              <w:right w:w="0" w:type="dxa"/>
            </w:tcMar>
            <w:vAlign w:val="center"/>
            <w:hideMark/>
          </w:tcPr>
          <w:p w:rsidR="008B0DB1" w:rsidRPr="008B0DB1" w:rsidRDefault="008B0DB1" w:rsidP="008B0DB1">
            <w:pPr>
              <w:spacing w:after="0" w:line="240" w:lineRule="auto"/>
              <w:rPr>
                <w:rFonts w:ascii="Times New Roman" w:eastAsia="Times New Roman" w:hAnsi="Times New Roman" w:cs="Times New Roman"/>
                <w:sz w:val="2"/>
                <w:szCs w:val="24"/>
                <w:lang w:eastAsia="ro-RO"/>
              </w:rPr>
            </w:pPr>
          </w:p>
        </w:tc>
      </w:tr>
      <w:tr w:rsidR="008B0DB1" w:rsidRPr="008B0DB1" w:rsidTr="008B0DB1">
        <w:trPr>
          <w:trHeight w:val="570"/>
          <w:jc w:val="center"/>
        </w:trPr>
        <w:tc>
          <w:tcPr>
            <w:tcW w:w="0" w:type="auto"/>
            <w:tcMar>
              <w:top w:w="0" w:type="dxa"/>
              <w:left w:w="0" w:type="dxa"/>
              <w:bottom w:w="0" w:type="dxa"/>
              <w:right w:w="0" w:type="dxa"/>
            </w:tcMar>
            <w:vAlign w:val="center"/>
            <w:hideMark/>
          </w:tcPr>
          <w:p w:rsidR="008B0DB1" w:rsidRPr="008B0DB1" w:rsidRDefault="008B0DB1" w:rsidP="008B0DB1">
            <w:pPr>
              <w:spacing w:after="0" w:line="240" w:lineRule="auto"/>
              <w:rPr>
                <w:rFonts w:ascii="Times New Roman" w:eastAsia="Times New Roman" w:hAnsi="Times New Roman" w:cs="Times New Roman"/>
                <w:sz w:val="24"/>
                <w:szCs w:val="24"/>
                <w:lang w:eastAsia="ro-RO"/>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rsidR="008B0DB1" w:rsidRPr="008B0DB1" w:rsidRDefault="008B0DB1" w:rsidP="008B0DB1">
            <w:pPr>
              <w:spacing w:after="0" w:line="240" w:lineRule="auto"/>
              <w:jc w:val="center"/>
              <w:rPr>
                <w:rFonts w:ascii="Times New Roman" w:eastAsia="Times New Roman" w:hAnsi="Times New Roman" w:cs="Times New Roman"/>
                <w:sz w:val="21"/>
                <w:szCs w:val="21"/>
                <w:lang w:eastAsia="ro-RO"/>
              </w:rPr>
            </w:pPr>
            <w:r w:rsidRPr="008B0DB1">
              <w:rPr>
                <w:rFonts w:ascii="Times New Roman" w:eastAsia="Times New Roman" w:hAnsi="Times New Roman" w:cs="Times New Roman"/>
                <w:sz w:val="21"/>
                <w:szCs w:val="21"/>
                <w:lang w:eastAsia="ro-RO"/>
              </w:rPr>
              <w:t>p. PREȘEDINTELE CAMEREI DEPUTAȚILOR,</w:t>
            </w:r>
            <w:r w:rsidRPr="008B0DB1">
              <w:rPr>
                <w:rFonts w:ascii="Times New Roman" w:eastAsia="Times New Roman" w:hAnsi="Times New Roman" w:cs="Times New Roman"/>
                <w:sz w:val="21"/>
                <w:szCs w:val="21"/>
                <w:lang w:eastAsia="ro-RO"/>
              </w:rPr>
              <w:br/>
              <w:t>CARMEN-ILEANA MIHĂLCESCU</w:t>
            </w: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rsidR="008B0DB1" w:rsidRPr="008B0DB1" w:rsidRDefault="008B0DB1" w:rsidP="008B0DB1">
            <w:pPr>
              <w:spacing w:after="0" w:line="240" w:lineRule="auto"/>
              <w:jc w:val="center"/>
              <w:rPr>
                <w:rFonts w:ascii="Times New Roman" w:eastAsia="Times New Roman" w:hAnsi="Times New Roman" w:cs="Times New Roman"/>
                <w:sz w:val="21"/>
                <w:szCs w:val="21"/>
                <w:lang w:eastAsia="ro-RO"/>
              </w:rPr>
            </w:pPr>
            <w:r w:rsidRPr="008B0DB1">
              <w:rPr>
                <w:rFonts w:ascii="Times New Roman" w:eastAsia="Times New Roman" w:hAnsi="Times New Roman" w:cs="Times New Roman"/>
                <w:sz w:val="21"/>
                <w:szCs w:val="21"/>
                <w:lang w:eastAsia="ro-RO"/>
              </w:rPr>
              <w:t>p. PREȘEDINTELE SENATULUI,</w:t>
            </w:r>
            <w:r w:rsidRPr="008B0DB1">
              <w:rPr>
                <w:rFonts w:ascii="Times New Roman" w:eastAsia="Times New Roman" w:hAnsi="Times New Roman" w:cs="Times New Roman"/>
                <w:sz w:val="21"/>
                <w:szCs w:val="21"/>
                <w:lang w:eastAsia="ro-RO"/>
              </w:rPr>
              <w:br/>
              <w:t>ROBERT-MARIUS CAZANCIUC</w:t>
            </w:r>
          </w:p>
        </w:tc>
      </w:tr>
    </w:tbl>
    <w:p w:rsidR="003B3C5B" w:rsidRDefault="003B3C5B" w:rsidP="008B0DB1">
      <w:pPr>
        <w:shd w:val="clear" w:color="auto" w:fill="FFFFFF"/>
        <w:spacing w:after="150" w:line="240" w:lineRule="auto"/>
        <w:jc w:val="both"/>
        <w:rPr>
          <w:rFonts w:ascii="Calibri" w:eastAsia="Times New Roman" w:hAnsi="Calibri" w:cs="Times New Roman"/>
          <w:color w:val="444444"/>
          <w:sz w:val="26"/>
          <w:szCs w:val="26"/>
          <w:lang w:eastAsia="ro-RO"/>
        </w:rPr>
      </w:pPr>
    </w:p>
    <w:p w:rsidR="003B3C5B" w:rsidRDefault="003B3C5B" w:rsidP="008B0DB1">
      <w:pPr>
        <w:shd w:val="clear" w:color="auto" w:fill="FFFFFF"/>
        <w:spacing w:after="150" w:line="240" w:lineRule="auto"/>
        <w:jc w:val="both"/>
        <w:rPr>
          <w:rFonts w:ascii="Calibri" w:eastAsia="Times New Roman" w:hAnsi="Calibri" w:cs="Times New Roman"/>
          <w:color w:val="444444"/>
          <w:sz w:val="26"/>
          <w:szCs w:val="26"/>
          <w:lang w:eastAsia="ro-RO"/>
        </w:rPr>
      </w:pPr>
    </w:p>
    <w:p w:rsidR="008B0DB1" w:rsidRPr="008B0DB1" w:rsidRDefault="008B0DB1" w:rsidP="008B0DB1">
      <w:pPr>
        <w:shd w:val="clear" w:color="auto" w:fill="FFFFFF"/>
        <w:spacing w:after="150" w:line="240" w:lineRule="auto"/>
        <w:jc w:val="both"/>
        <w:rPr>
          <w:rFonts w:ascii="Calibri" w:eastAsia="Times New Roman" w:hAnsi="Calibri" w:cs="Times New Roman"/>
          <w:color w:val="333333"/>
          <w:sz w:val="26"/>
          <w:szCs w:val="26"/>
          <w:lang w:eastAsia="ro-RO"/>
        </w:rPr>
      </w:pPr>
      <w:r w:rsidRPr="008B0DB1">
        <w:rPr>
          <w:rFonts w:ascii="Calibri" w:eastAsia="Times New Roman" w:hAnsi="Calibri" w:cs="Times New Roman"/>
          <w:color w:val="444444"/>
          <w:sz w:val="26"/>
          <w:szCs w:val="26"/>
          <w:lang w:eastAsia="ro-RO"/>
        </w:rPr>
        <w:t>București, 7 decembrie 2020.</w:t>
      </w:r>
    </w:p>
    <w:p w:rsidR="008B0DB1" w:rsidRPr="008B0DB1" w:rsidRDefault="008B0DB1" w:rsidP="008B0DB1">
      <w:pPr>
        <w:shd w:val="clear" w:color="auto" w:fill="FFFFFF"/>
        <w:spacing w:after="150" w:line="240" w:lineRule="auto"/>
        <w:jc w:val="both"/>
        <w:rPr>
          <w:rFonts w:ascii="Calibri" w:eastAsia="Times New Roman" w:hAnsi="Calibri" w:cs="Times New Roman"/>
          <w:color w:val="333333"/>
          <w:sz w:val="26"/>
          <w:szCs w:val="26"/>
          <w:lang w:eastAsia="ro-RO"/>
        </w:rPr>
      </w:pPr>
      <w:r w:rsidRPr="008B0DB1">
        <w:rPr>
          <w:rFonts w:ascii="Calibri" w:eastAsia="Times New Roman" w:hAnsi="Calibri" w:cs="Times New Roman"/>
          <w:color w:val="444444"/>
          <w:sz w:val="26"/>
          <w:szCs w:val="26"/>
          <w:lang w:eastAsia="ro-RO"/>
        </w:rPr>
        <w:t>Nr. 279.</w:t>
      </w:r>
    </w:p>
    <w:p w:rsidR="007C4C9E" w:rsidRPr="008B0DB1" w:rsidRDefault="007C4C9E" w:rsidP="008B0DB1"/>
    <w:sectPr w:rsidR="007C4C9E" w:rsidRPr="008B0DB1" w:rsidSect="00A815D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B0E86"/>
    <w:multiLevelType w:val="multilevel"/>
    <w:tmpl w:val="B586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7C4C9E"/>
    <w:rsid w:val="001618BE"/>
    <w:rsid w:val="002459FF"/>
    <w:rsid w:val="003B3C5B"/>
    <w:rsid w:val="00497F6E"/>
    <w:rsid w:val="004D57D6"/>
    <w:rsid w:val="007C4C9E"/>
    <w:rsid w:val="008B0DB1"/>
    <w:rsid w:val="009D0B9B"/>
    <w:rsid w:val="00A815DC"/>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5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5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9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5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9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8425084">
      <w:bodyDiv w:val="1"/>
      <w:marLeft w:val="0"/>
      <w:marRight w:val="0"/>
      <w:marTop w:val="0"/>
      <w:marBottom w:val="0"/>
      <w:divBdr>
        <w:top w:val="none" w:sz="0" w:space="0" w:color="auto"/>
        <w:left w:val="none" w:sz="0" w:space="0" w:color="auto"/>
        <w:bottom w:val="none" w:sz="0" w:space="0" w:color="auto"/>
        <w:right w:val="none" w:sz="0" w:space="0" w:color="auto"/>
      </w:divBdr>
      <w:divsChild>
        <w:div w:id="1012146479">
          <w:marLeft w:val="75"/>
          <w:marRight w:val="75"/>
          <w:marTop w:val="0"/>
          <w:marBottom w:val="0"/>
          <w:divBdr>
            <w:top w:val="none" w:sz="0" w:space="0" w:color="auto"/>
            <w:left w:val="none" w:sz="0" w:space="0" w:color="auto"/>
            <w:bottom w:val="none" w:sz="0" w:space="0" w:color="auto"/>
            <w:right w:val="none" w:sz="0" w:space="0" w:color="auto"/>
          </w:divBdr>
        </w:div>
        <w:div w:id="239566115">
          <w:marLeft w:val="75"/>
          <w:marRight w:val="75"/>
          <w:marTop w:val="0"/>
          <w:marBottom w:val="0"/>
          <w:divBdr>
            <w:top w:val="none" w:sz="0" w:space="0" w:color="auto"/>
            <w:left w:val="none" w:sz="0" w:space="0" w:color="auto"/>
            <w:bottom w:val="none" w:sz="0" w:space="0" w:color="auto"/>
            <w:right w:val="none" w:sz="0" w:space="0" w:color="auto"/>
          </w:divBdr>
        </w:div>
        <w:div w:id="1562213449">
          <w:marLeft w:val="75"/>
          <w:marRight w:val="75"/>
          <w:marTop w:val="0"/>
          <w:marBottom w:val="0"/>
          <w:divBdr>
            <w:top w:val="none" w:sz="0" w:space="0" w:color="auto"/>
            <w:left w:val="none" w:sz="0" w:space="0" w:color="auto"/>
            <w:bottom w:val="none" w:sz="0" w:space="0" w:color="auto"/>
            <w:right w:val="none" w:sz="0" w:space="0" w:color="auto"/>
          </w:divBdr>
        </w:div>
        <w:div w:id="980305243">
          <w:marLeft w:val="75"/>
          <w:marRight w:val="75"/>
          <w:marTop w:val="0"/>
          <w:marBottom w:val="0"/>
          <w:divBdr>
            <w:top w:val="none" w:sz="0" w:space="0" w:color="auto"/>
            <w:left w:val="none" w:sz="0" w:space="0" w:color="auto"/>
            <w:bottom w:val="none" w:sz="0" w:space="0" w:color="auto"/>
            <w:right w:val="none" w:sz="0" w:space="0" w:color="auto"/>
          </w:divBdr>
        </w:div>
        <w:div w:id="1121923973">
          <w:marLeft w:val="75"/>
          <w:marRight w:val="75"/>
          <w:marTop w:val="0"/>
          <w:marBottom w:val="0"/>
          <w:divBdr>
            <w:top w:val="none" w:sz="0" w:space="0" w:color="auto"/>
            <w:left w:val="none" w:sz="0" w:space="0" w:color="auto"/>
            <w:bottom w:val="none" w:sz="0" w:space="0" w:color="auto"/>
            <w:right w:val="none" w:sz="0" w:space="0" w:color="auto"/>
          </w:divBdr>
        </w:div>
        <w:div w:id="2078436149">
          <w:marLeft w:val="75"/>
          <w:marRight w:val="75"/>
          <w:marTop w:val="0"/>
          <w:marBottom w:val="0"/>
          <w:divBdr>
            <w:top w:val="none" w:sz="0" w:space="0" w:color="auto"/>
            <w:left w:val="none" w:sz="0" w:space="0" w:color="auto"/>
            <w:bottom w:val="none" w:sz="0" w:space="0" w:color="auto"/>
            <w:right w:val="none" w:sz="0" w:space="0" w:color="auto"/>
          </w:divBdr>
        </w:div>
      </w:divsChild>
    </w:div>
    <w:div w:id="1865437119">
      <w:bodyDiv w:val="1"/>
      <w:marLeft w:val="0"/>
      <w:marRight w:val="0"/>
      <w:marTop w:val="0"/>
      <w:marBottom w:val="0"/>
      <w:divBdr>
        <w:top w:val="none" w:sz="0" w:space="0" w:color="auto"/>
        <w:left w:val="none" w:sz="0" w:space="0" w:color="auto"/>
        <w:bottom w:val="none" w:sz="0" w:space="0" w:color="auto"/>
        <w:right w:val="none" w:sz="0" w:space="0" w:color="auto"/>
      </w:divBdr>
      <w:divsChild>
        <w:div w:id="1394961423">
          <w:marLeft w:val="0"/>
          <w:marRight w:val="0"/>
          <w:marTop w:val="0"/>
          <w:marBottom w:val="300"/>
          <w:divBdr>
            <w:top w:val="none" w:sz="0" w:space="0" w:color="auto"/>
            <w:left w:val="none" w:sz="0" w:space="0" w:color="auto"/>
            <w:bottom w:val="single" w:sz="48" w:space="0" w:color="DDDDDD"/>
            <w:right w:val="none" w:sz="0" w:space="0" w:color="auto"/>
          </w:divBdr>
          <w:divsChild>
            <w:div w:id="960305081">
              <w:marLeft w:val="0"/>
              <w:marRight w:val="0"/>
              <w:marTop w:val="0"/>
              <w:marBottom w:val="150"/>
              <w:divBdr>
                <w:top w:val="none" w:sz="0" w:space="0" w:color="auto"/>
                <w:left w:val="none" w:sz="0" w:space="0" w:color="auto"/>
                <w:bottom w:val="none" w:sz="0" w:space="0" w:color="auto"/>
                <w:right w:val="none" w:sz="0" w:space="0" w:color="auto"/>
              </w:divBdr>
            </w:div>
          </w:divsChild>
        </w:div>
        <w:div w:id="439225098">
          <w:marLeft w:val="0"/>
          <w:marRight w:val="75"/>
          <w:marTop w:val="0"/>
          <w:marBottom w:val="0"/>
          <w:divBdr>
            <w:top w:val="none" w:sz="0" w:space="0" w:color="auto"/>
            <w:left w:val="none" w:sz="0" w:space="0" w:color="auto"/>
            <w:bottom w:val="none" w:sz="0" w:space="0" w:color="auto"/>
            <w:right w:val="none" w:sz="0" w:space="0" w:color="auto"/>
          </w:divBdr>
        </w:div>
        <w:div w:id="796918297">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ztsmrxgu/legea-nr-263-2010-privind-sistemul-unitar-de-pensii-publice?pid=326959661&amp;d=2020-12-07"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lege5.ro/Gratuit/gm4timzxgmza/articol-unic-lege-279-2020?dp=gmzdqnzuhazde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e5.ro/Gratuit/gm4timzxgmza/FisalpReferinte1&amp;pId=0" TargetMode="External"/><Relationship Id="rId11" Type="http://schemas.openxmlformats.org/officeDocument/2006/relationships/fontTable" Target="fontTable.xml"/><Relationship Id="rId5" Type="http://schemas.openxmlformats.org/officeDocument/2006/relationships/hyperlink" Target="https://lege5.ro/Gratuit/gm4timzxgmza/alegeconsolidare" TargetMode="External"/><Relationship Id="rId10" Type="http://schemas.openxmlformats.org/officeDocument/2006/relationships/hyperlink" Target="https://lege5.ro/Gratuit/gq4deojv/constitutia-romaniei-republicata-in-2003?pid=43226542&amp;d=2020-12-07" TargetMode="External"/><Relationship Id="rId4" Type="http://schemas.openxmlformats.org/officeDocument/2006/relationships/webSettings" Target="webSettings.xml"/><Relationship Id="rId9" Type="http://schemas.openxmlformats.org/officeDocument/2006/relationships/hyperlink" Target="https://lege5.ro/Gratuit/gq4deojv/constitutia-romaniei-republicata-in-2003?pid=43226532&amp;d=2020-12-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598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dc:creator>
  <cp:lastModifiedBy>andreeapacuretu</cp:lastModifiedBy>
  <cp:revision>2</cp:revision>
  <cp:lastPrinted>2020-12-08T07:09:00Z</cp:lastPrinted>
  <dcterms:created xsi:type="dcterms:W3CDTF">2020-12-08T07:22:00Z</dcterms:created>
  <dcterms:modified xsi:type="dcterms:W3CDTF">2020-12-08T07:22:00Z</dcterms:modified>
</cp:coreProperties>
</file>